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37" w:rsidRPr="00E81E37" w:rsidRDefault="00E81E37" w:rsidP="00E81E37">
      <w:pPr>
        <w:spacing w:line="360" w:lineRule="auto"/>
        <w:jc w:val="center"/>
        <w:rPr>
          <w:b/>
        </w:rPr>
      </w:pPr>
      <w:bookmarkStart w:id="0" w:name="_GoBack"/>
      <w:r w:rsidRPr="00E81E37">
        <w:rPr>
          <w:b/>
        </w:rPr>
        <w:t>喜报：学校教师在上海建筑职业教育集团第一届课程思政教学能力比赛活动中荣获佳绩</w:t>
      </w:r>
    </w:p>
    <w:bookmarkEnd w:id="0"/>
    <w:p w:rsidR="00E81E37" w:rsidRPr="00E81E37" w:rsidRDefault="00E81E37" w:rsidP="00E81E37">
      <w:pPr>
        <w:spacing w:line="360" w:lineRule="auto"/>
        <w:ind w:firstLineChars="200" w:firstLine="420"/>
        <w:rPr>
          <w:rFonts w:asciiTheme="minorEastAsia" w:hAnsiTheme="minorEastAsia" w:hint="eastAsia"/>
        </w:rPr>
      </w:pPr>
      <w:r w:rsidRPr="00E81E37">
        <w:rPr>
          <w:rFonts w:asciiTheme="minorEastAsia" w:hAnsiTheme="minorEastAsia" w:hint="eastAsia"/>
        </w:rPr>
        <w:t>近日，上海建筑职业教育集团第一届课程思政教学能力比赛活动获奖名单公布，我校参赛的5门课程全部获奖，其中一等奖2项、二等奖3项。</w:t>
      </w:r>
    </w:p>
    <w:p w:rsidR="00E81E37" w:rsidRPr="00E81E37" w:rsidRDefault="00E81E37" w:rsidP="00E81E37">
      <w:pPr>
        <w:spacing w:line="360" w:lineRule="auto"/>
        <w:ind w:firstLineChars="200" w:firstLine="420"/>
        <w:rPr>
          <w:rFonts w:asciiTheme="minorEastAsia" w:hAnsiTheme="minorEastAsia" w:hint="eastAsia"/>
        </w:rPr>
      </w:pPr>
      <w:r w:rsidRPr="00E81E37">
        <w:rPr>
          <w:rFonts w:asciiTheme="minorEastAsia" w:hAnsiTheme="minorEastAsia" w:hint="eastAsia"/>
        </w:rPr>
        <w:t>本次课程思政教学能力比赛包含教学设计案例展示和现场展示两个部分。“教学设计案例展示”环节，参赛教师准确把握“坚定学生理想信念，教育学生爱党、爱国、爱社会主义、爱人民、爱集体”主线，结合所在专业、所属课程类型的育人要求和特点开展课程思政设计并撰写典型教学案例。“现场展示”环节以线上形式组织开展，我校教师清晰地汇报了参赛课程的课程教学目标、思路与设计和教学效果，并进行模拟课堂教学。</w:t>
      </w:r>
    </w:p>
    <w:p w:rsidR="00526D1A" w:rsidRDefault="00E81E37" w:rsidP="00E81E37">
      <w:pPr>
        <w:spacing w:line="360" w:lineRule="auto"/>
        <w:ind w:firstLineChars="200" w:firstLine="420"/>
        <w:rPr>
          <w:rFonts w:asciiTheme="minorEastAsia" w:hAnsiTheme="minorEastAsia"/>
        </w:rPr>
      </w:pPr>
      <w:r w:rsidRPr="00E81E37">
        <w:rPr>
          <w:rFonts w:asciiTheme="minorEastAsia" w:hAnsiTheme="minorEastAsia" w:hint="eastAsia"/>
        </w:rPr>
        <w:t>此次比赛进一步推进我校课程思政建设，提升教师课程思政意识与能力，彰显我校新时代教师教书育人风范。学校将以此为契机，深入贯彻落实全国职业教育大会精神，充分发挥课程思政作用，结合学校办学定位、专业特色和人才培养要求，全面推进学校课程思政建设理论研究和教学实践，探索创新课程思政建设方法路径，从而助力学校专业建设，推动学校教师队伍整体素质提升。</w:t>
      </w:r>
    </w:p>
    <w:p w:rsidR="00E81E37" w:rsidRPr="00560256" w:rsidRDefault="00E81E37" w:rsidP="00E81E37">
      <w:pPr>
        <w:spacing w:line="360" w:lineRule="auto"/>
        <w:ind w:firstLineChars="200" w:firstLine="420"/>
        <w:rPr>
          <w:rFonts w:asciiTheme="minorEastAsia" w:hAnsiTheme="minorEastAsia" w:hint="eastAsia"/>
        </w:rPr>
      </w:pPr>
      <w:r>
        <w:rPr>
          <w:noProof/>
        </w:rPr>
        <w:drawing>
          <wp:inline distT="0" distB="0" distL="0" distR="0" wp14:anchorId="7C2153F6" wp14:editId="5EC6EA7D">
            <wp:extent cx="5274310" cy="4661390"/>
            <wp:effectExtent l="0" t="0" r="2540" b="6350"/>
            <wp:docPr id="2" name="图片 2" desc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661390"/>
                    </a:xfrm>
                    <a:prstGeom prst="rect">
                      <a:avLst/>
                    </a:prstGeom>
                    <a:noFill/>
                    <a:ln>
                      <a:noFill/>
                    </a:ln>
                  </pic:spPr>
                </pic:pic>
              </a:graphicData>
            </a:graphic>
          </wp:inline>
        </w:drawing>
      </w:r>
    </w:p>
    <w:sectPr w:rsidR="00E81E37" w:rsidRPr="00560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EE" w:rsidRDefault="006B6FEE" w:rsidP="00560256">
      <w:r>
        <w:separator/>
      </w:r>
    </w:p>
  </w:endnote>
  <w:endnote w:type="continuationSeparator" w:id="0">
    <w:p w:rsidR="006B6FEE" w:rsidRDefault="006B6FEE" w:rsidP="0056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EE" w:rsidRDefault="006B6FEE" w:rsidP="00560256">
      <w:r>
        <w:separator/>
      </w:r>
    </w:p>
  </w:footnote>
  <w:footnote w:type="continuationSeparator" w:id="0">
    <w:p w:rsidR="006B6FEE" w:rsidRDefault="006B6FEE" w:rsidP="00560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F8"/>
    <w:rsid w:val="002C79F8"/>
    <w:rsid w:val="00526D1A"/>
    <w:rsid w:val="00560256"/>
    <w:rsid w:val="005A7772"/>
    <w:rsid w:val="006B6FEE"/>
    <w:rsid w:val="0079579C"/>
    <w:rsid w:val="00A401CF"/>
    <w:rsid w:val="00E8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E7181A-9DBA-4C71-940B-764BCED0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256"/>
    <w:rPr>
      <w:sz w:val="18"/>
      <w:szCs w:val="18"/>
    </w:rPr>
  </w:style>
  <w:style w:type="paragraph" w:styleId="a4">
    <w:name w:val="footer"/>
    <w:basedOn w:val="a"/>
    <w:link w:val="Char0"/>
    <w:uiPriority w:val="99"/>
    <w:unhideWhenUsed/>
    <w:rsid w:val="00560256"/>
    <w:pPr>
      <w:tabs>
        <w:tab w:val="center" w:pos="4153"/>
        <w:tab w:val="right" w:pos="8306"/>
      </w:tabs>
      <w:snapToGrid w:val="0"/>
      <w:jc w:val="left"/>
    </w:pPr>
    <w:rPr>
      <w:sz w:val="18"/>
      <w:szCs w:val="18"/>
    </w:rPr>
  </w:style>
  <w:style w:type="character" w:customStyle="1" w:styleId="Char0">
    <w:name w:val="页脚 Char"/>
    <w:basedOn w:val="a0"/>
    <w:link w:val="a4"/>
    <w:uiPriority w:val="99"/>
    <w:rsid w:val="005602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HP Inc.</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5</cp:revision>
  <dcterms:created xsi:type="dcterms:W3CDTF">2022-08-03T05:35:00Z</dcterms:created>
  <dcterms:modified xsi:type="dcterms:W3CDTF">2023-08-28T12:55:00Z</dcterms:modified>
</cp:coreProperties>
</file>