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color w:val="C09853"/>
          <w:sz w:val="21"/>
          <w:szCs w:val="21"/>
        </w:rPr>
      </w:pPr>
      <w:r>
        <w:rPr>
          <w:rStyle w:val="6"/>
          <w:b/>
          <w:i w:val="0"/>
          <w:iCs w:val="0"/>
          <w:caps w:val="0"/>
          <w:color w:val="C09853"/>
          <w:spacing w:val="0"/>
          <w:sz w:val="21"/>
          <w:szCs w:val="21"/>
          <w:shd w:val="clear" w:fill="FCF8E3"/>
        </w:rPr>
        <w:t>喜报：我校喜获上海市职业教育协会课程思政优秀案例二、三等奖</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近日，上海市职业教育协会公布了2023年上海市中等职业学校课程思政优秀案例评选结果，由孙晓卯、张梦撰写的案例《探索“一轴两驱四支撑”模式，开创课程思政工作新局面》获得课程思政优秀案例二等奖，成霞撰写的案例《一丝不苟，于细微处见真章——&lt;建筑给排水施工图识读&gt;课程思政案例》获得课程思政教学案例三等奖。</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我校坚持以立德树人为根本，持续推进课程思政教育教学改革，通过课程改革、项目孵化、示范培育等手段，不断激发课堂教学活力，在课程思政教育教学改革过程中涌现出一批可借鉴、可推广、具有辐射和示范效应的教育教学改革案例。此次获奖案例是学校长期深入贯彻和落实市教委及学校等有关文件精神的落地拓展和良好总结，是学校不断推进课程思政教学改革的重要成果。</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B284ADA"/>
    <w:rsid w:val="0F1E26FD"/>
    <w:rsid w:val="17B94CE9"/>
    <w:rsid w:val="5F1D005B"/>
    <w:rsid w:val="68AB4DCE"/>
    <w:rsid w:val="7BC228BD"/>
    <w:rsid w:val="AEF9B0A3"/>
    <w:rsid w:val="EFEB4BED"/>
    <w:rsid w:val="FF9E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451</Characters>
  <Lines>0</Lines>
  <Paragraphs>0</Paragraphs>
  <TotalTime>180</TotalTime>
  <ScaleCrop>false</ScaleCrop>
  <LinksUpToDate>false</LinksUpToDate>
  <CharactersWithSpaces>452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2022-04-28T00:57:00Z</dcterms:created>
  <dc:creator>win 10</dc:creator>
  <cp:lastModifiedBy>满天星</cp:lastModifiedBy>
  <dcterms:modified xsi:type="dcterms:W3CDTF">2023-07-29T17:39:08Z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B12469C6FF384FC0A768524A2928FEB7</vt:lpwstr>
  </property>
</Properties>
</file>