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8C5" w:rsidRPr="00525237" w:rsidRDefault="006F78C5" w:rsidP="006F78C5">
      <w:pPr>
        <w:adjustRightInd w:val="0"/>
        <w:snapToGrid w:val="0"/>
        <w:spacing w:line="360" w:lineRule="auto"/>
        <w:jc w:val="center"/>
        <w:rPr>
          <w:rFonts w:ascii="宋体" w:hAnsi="宋体"/>
          <w:b/>
          <w:sz w:val="24"/>
        </w:rPr>
      </w:pPr>
      <w:bookmarkStart w:id="0" w:name="_GoBack"/>
      <w:r w:rsidRPr="00525237">
        <w:rPr>
          <w:rFonts w:ascii="宋体" w:hAnsi="宋体" w:hint="eastAsia"/>
          <w:b/>
          <w:sz w:val="24"/>
        </w:rPr>
        <w:t>学校举办《形势与政策》专题讲座</w:t>
      </w:r>
    </w:p>
    <w:bookmarkEnd w:id="0"/>
    <w:p w:rsidR="006F78C5" w:rsidRPr="005550D1" w:rsidRDefault="006F78C5" w:rsidP="006F78C5">
      <w:pPr>
        <w:spacing w:line="360" w:lineRule="auto"/>
        <w:ind w:firstLineChars="200" w:firstLine="480"/>
        <w:rPr>
          <w:rFonts w:ascii="宋体" w:hAnsi="宋体"/>
          <w:sz w:val="24"/>
        </w:rPr>
      </w:pPr>
      <w:r w:rsidRPr="00525237">
        <w:rPr>
          <w:rFonts w:ascii="宋体" w:hAnsi="宋体" w:hint="eastAsia"/>
          <w:sz w:val="24"/>
        </w:rPr>
        <w:t>4月24日下午，学校举办《形势与政策》专题讲座，特邀请上海城建职业学院马克思主义学院朱千伟老师为15级</w:t>
      </w:r>
      <w:r w:rsidRPr="00525237">
        <w:rPr>
          <w:rFonts w:ascii="宋体" w:hAnsi="宋体"/>
          <w:sz w:val="24"/>
        </w:rPr>
        <w:t>中高职贯通班</w:t>
      </w:r>
      <w:r w:rsidRPr="00525237">
        <w:rPr>
          <w:rFonts w:ascii="宋体" w:hAnsi="宋体" w:hint="eastAsia"/>
          <w:sz w:val="24"/>
        </w:rPr>
        <w:t>学生们授课。</w:t>
      </w:r>
    </w:p>
    <w:p w:rsidR="006F78C5" w:rsidRPr="00525237" w:rsidRDefault="006F78C5" w:rsidP="006F78C5">
      <w:pPr>
        <w:spacing w:line="360" w:lineRule="auto"/>
        <w:ind w:firstLineChars="200" w:firstLine="420"/>
        <w:rPr>
          <w:rFonts w:ascii="宋体" w:hAnsi="宋体"/>
          <w:sz w:val="24"/>
        </w:rPr>
      </w:pPr>
      <w:r>
        <w:rPr>
          <w:noProof/>
        </w:rPr>
        <w:drawing>
          <wp:anchor distT="0" distB="0" distL="114300" distR="114300" simplePos="0" relativeHeight="251659264" behindDoc="0" locked="0" layoutInCell="1" allowOverlap="1" wp14:anchorId="0FE3643C" wp14:editId="21890832">
            <wp:simplePos x="0" y="0"/>
            <wp:positionH relativeFrom="column">
              <wp:posOffset>0</wp:posOffset>
            </wp:positionH>
            <wp:positionV relativeFrom="paragraph">
              <wp:posOffset>92710</wp:posOffset>
            </wp:positionV>
            <wp:extent cx="1882140" cy="1318260"/>
            <wp:effectExtent l="0" t="0" r="3810" b="0"/>
            <wp:wrapSquare wrapText="bothSides"/>
            <wp:docPr id="1" name="图片 1" descr="C:\Users\lenovo\AppData\Roaming\Tencent\Users\1280157351\QQ\WinTemp\RichOle\9L[EFCY9842(8%~NE66NUJ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C:\Users\lenovo\AppData\Roaming\Tencent\Users\1280157351\QQ\WinTemp\RichOle\9L[EFCY9842(8%~NE66NUJ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214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237">
        <w:rPr>
          <w:rFonts w:ascii="宋体" w:hAnsi="宋体" w:hint="eastAsia"/>
          <w:sz w:val="24"/>
        </w:rPr>
        <w:t>朱千伟老师围绕“坚定实施区域协调发展战略”为宗旨，通过案例讲解、视频资料学习、互动提问等方式，深入浅出地讲解了四大区域发展取得的新成效、正确认识区域间发展不均衡现状、新时代促进区域协调发展方略等三个方面的重点内容。学生们进一步领悟到“</w:t>
      </w:r>
      <w:r w:rsidRPr="00525237">
        <w:rPr>
          <w:rFonts w:ascii="宋体" w:hAnsi="宋体"/>
          <w:sz w:val="24"/>
        </w:rPr>
        <w:t>实施区域协调发展战略</w:t>
      </w:r>
      <w:r w:rsidRPr="00525237">
        <w:rPr>
          <w:rFonts w:ascii="宋体" w:hAnsi="宋体" w:hint="eastAsia"/>
          <w:sz w:val="24"/>
        </w:rPr>
        <w:t>”</w:t>
      </w:r>
      <w:r w:rsidRPr="00525237">
        <w:rPr>
          <w:rFonts w:ascii="宋体" w:hAnsi="宋体"/>
          <w:sz w:val="24"/>
        </w:rPr>
        <w:t>是新时代解决人民日益增长的美好生活需要和不平衡不充分的发展之间的矛盾的重要途径，对加快建设现代化经济体系、促进高质量发展、实现“两个一百年”奋斗目标具有</w:t>
      </w:r>
      <w:r w:rsidRPr="00525237">
        <w:rPr>
          <w:rFonts w:ascii="宋体" w:hAnsi="宋体" w:hint="eastAsia"/>
          <w:sz w:val="24"/>
        </w:rPr>
        <w:t>的</w:t>
      </w:r>
      <w:r w:rsidRPr="00525237">
        <w:rPr>
          <w:rFonts w:ascii="宋体" w:hAnsi="宋体"/>
          <w:sz w:val="24"/>
        </w:rPr>
        <w:t>重大战略意义</w:t>
      </w:r>
      <w:r w:rsidRPr="00525237">
        <w:rPr>
          <w:rFonts w:ascii="宋体" w:hAnsi="宋体" w:hint="eastAsia"/>
          <w:sz w:val="24"/>
        </w:rPr>
        <w:t>。</w:t>
      </w:r>
    </w:p>
    <w:p w:rsidR="000C6110" w:rsidRDefault="006F78C5" w:rsidP="006F78C5">
      <w:pPr>
        <w:spacing w:line="360" w:lineRule="auto"/>
        <w:ind w:firstLineChars="200" w:firstLine="480"/>
      </w:pPr>
      <w:r w:rsidRPr="00525237">
        <w:rPr>
          <w:rFonts w:ascii="宋体" w:hAnsi="宋体" w:hint="eastAsia"/>
          <w:sz w:val="24"/>
        </w:rPr>
        <w:t>通过《形势与政策》讲座学习，学生们受益匪浅，表示今后要坚守正道、追求真理，立足我国国情，放眼观察世界，为推进祖国发展做出自己的贡献。</w:t>
      </w:r>
      <w:r>
        <w:rPr>
          <w:rFonts w:ascii="宋体" w:hAnsi="宋体" w:hint="eastAsia"/>
          <w:sz w:val="24"/>
        </w:rPr>
        <w:t xml:space="preserve">   </w:t>
      </w:r>
    </w:p>
    <w:sectPr w:rsidR="000C61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C41" w:rsidRDefault="00316C41" w:rsidP="006F78C5">
      <w:r>
        <w:separator/>
      </w:r>
    </w:p>
  </w:endnote>
  <w:endnote w:type="continuationSeparator" w:id="0">
    <w:p w:rsidR="00316C41" w:rsidRDefault="00316C41" w:rsidP="006F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C41" w:rsidRDefault="00316C41" w:rsidP="006F78C5">
      <w:r>
        <w:separator/>
      </w:r>
    </w:p>
  </w:footnote>
  <w:footnote w:type="continuationSeparator" w:id="0">
    <w:p w:rsidR="00316C41" w:rsidRDefault="00316C41" w:rsidP="006F7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97CC4"/>
    <w:multiLevelType w:val="hybridMultilevel"/>
    <w:tmpl w:val="0EE853F4"/>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F89"/>
    <w:rsid w:val="000C6110"/>
    <w:rsid w:val="00316C41"/>
    <w:rsid w:val="00511F89"/>
    <w:rsid w:val="006F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8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78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78C5"/>
    <w:rPr>
      <w:sz w:val="18"/>
      <w:szCs w:val="18"/>
    </w:rPr>
  </w:style>
  <w:style w:type="paragraph" w:styleId="a4">
    <w:name w:val="footer"/>
    <w:basedOn w:val="a"/>
    <w:link w:val="Char0"/>
    <w:uiPriority w:val="99"/>
    <w:unhideWhenUsed/>
    <w:rsid w:val="006F78C5"/>
    <w:pPr>
      <w:tabs>
        <w:tab w:val="center" w:pos="4153"/>
        <w:tab w:val="right" w:pos="8306"/>
      </w:tabs>
      <w:snapToGrid w:val="0"/>
      <w:jc w:val="left"/>
    </w:pPr>
    <w:rPr>
      <w:sz w:val="18"/>
      <w:szCs w:val="18"/>
    </w:rPr>
  </w:style>
  <w:style w:type="character" w:customStyle="1" w:styleId="Char0">
    <w:name w:val="页脚 Char"/>
    <w:basedOn w:val="a0"/>
    <w:link w:val="a4"/>
    <w:uiPriority w:val="99"/>
    <w:rsid w:val="006F78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8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78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78C5"/>
    <w:rPr>
      <w:sz w:val="18"/>
      <w:szCs w:val="18"/>
    </w:rPr>
  </w:style>
  <w:style w:type="paragraph" w:styleId="a4">
    <w:name w:val="footer"/>
    <w:basedOn w:val="a"/>
    <w:link w:val="Char0"/>
    <w:uiPriority w:val="99"/>
    <w:unhideWhenUsed/>
    <w:rsid w:val="006F78C5"/>
    <w:pPr>
      <w:tabs>
        <w:tab w:val="center" w:pos="4153"/>
        <w:tab w:val="right" w:pos="8306"/>
      </w:tabs>
      <w:snapToGrid w:val="0"/>
      <w:jc w:val="left"/>
    </w:pPr>
    <w:rPr>
      <w:sz w:val="18"/>
      <w:szCs w:val="18"/>
    </w:rPr>
  </w:style>
  <w:style w:type="character" w:customStyle="1" w:styleId="Char0">
    <w:name w:val="页脚 Char"/>
    <w:basedOn w:val="a0"/>
    <w:link w:val="a4"/>
    <w:uiPriority w:val="99"/>
    <w:rsid w:val="006F78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Company>微软中国</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2019-12-16T07:39:00Z</dcterms:created>
  <dcterms:modified xsi:type="dcterms:W3CDTF">2019-12-16T07:39:00Z</dcterms:modified>
</cp:coreProperties>
</file>